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42" w:rsidRPr="00BA4B42" w:rsidRDefault="00BA4B42" w:rsidP="00BA4B42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9 декабря 2016 г. № 1568 "Об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автомобилей"</w:t>
      </w:r>
    </w:p>
    <w:p w:rsidR="00BA4B42" w:rsidRPr="00BA4B42" w:rsidRDefault="00BA4B42" w:rsidP="00BA4B42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 декабря 2016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4702; 2014, № 2, ст. 126; № 6, ст. 582; № 27, ст. 3776; 2015, № 26, ст. 3898;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 43, ст. 5976; 2016, № 2, ст. 325; № 8, ст. 1121; № 28, ст. 4741),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 661 (Собрание законодательства Российской Федерации, 2013, № 33, ст. 4377; 2014, № 38, ст. 5069;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2016, № 16, ст. 2230), а также в целях реализации пункта 3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 г. № 349-р (Собрание законодательства Российской Федерации, 2015, № 11, ст. 1629), приказываю: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 прилагаемый </w:t>
      </w:r>
      <w:hyperlink r:id="rId5" w:anchor="1000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государственный образовательный стандарт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среднего профессионального образования по специальности 23.02.07 Техническое обслуживание и ремонт двигателей, систем и агрегатов автомобилей.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1688"/>
      </w:tblGrid>
      <w:tr w:rsidR="00BA4B42" w:rsidRPr="00BA4B42" w:rsidTr="00BA4B42">
        <w:tc>
          <w:tcPr>
            <w:tcW w:w="2500" w:type="pct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 Васильева</w:t>
            </w:r>
          </w:p>
        </w:tc>
      </w:tr>
    </w:tbl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26 декабря 2016 г.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Регистрационный № 44946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BA4B42" w:rsidRPr="00BA4B42" w:rsidRDefault="00BA4B42" w:rsidP="00BA4B4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23.02.07 Техническое обслуживание и ремонт двигателей, систем и агрегатов автомобилей</w:t>
      </w: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6" w:anchor="0" w:history="1">
        <w:r w:rsidRPr="00BA4B42">
          <w:rPr>
            <w:rFonts w:ascii="Arial" w:eastAsia="Times New Roman" w:hAnsi="Arial" w:cs="Arial"/>
            <w:b/>
            <w:bCs/>
            <w:color w:val="808080"/>
            <w:sz w:val="26"/>
            <w:szCs w:val="26"/>
            <w:u w:val="single"/>
            <w:bdr w:val="none" w:sz="0" w:space="0" w:color="auto" w:frame="1"/>
            <w:lang w:eastAsia="ru-RU"/>
          </w:rPr>
          <w:t>приказом</w:t>
        </w:r>
      </w:hyperlink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Министерства образования и науки РФ от 9 декабря 2016 г. № 1568)</w:t>
      </w:r>
    </w:p>
    <w:p w:rsidR="00BA4B42" w:rsidRPr="00BA4B42" w:rsidRDefault="00BA4B42" w:rsidP="00BA4B4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23.02.07 Техническое обслуживание и ремонт двигателей, систем и агрегатов автомобилей (далее - специальность).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Содержание СПО по специальности определяется программой подготовки специалистов среднего звена (далее - образовательная программа), разрабатываемой и утверждаемой образовательной организацией самостоятельно в соответствии с настоящим ФГОС СПО.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1.4.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hyperlink r:id="rId7" w:anchor="1111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*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1.5.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1.8.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</w:t>
      </w:r>
      <w:hyperlink r:id="rId8" w:anchor="2222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**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базе основного общего образования - 3 года 10 месяцев;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базе среднего общего образования - 2 года 10 месяцев.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более чем на 1,5 года при получении образования на базе основного общего образования;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более чем на 1 год при получении образования на базе среднего общего образования.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 составляет не более срока получения образования, установленного для соответствующей формы обучения. При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обучении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 определяются образовательной организацией самостоятельно в пределах сроков, установленных настоящим пунктом.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1.10.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1.11.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 г. № 1199 (зарегистрирован Министерством юстиции Российской Федерации 26 декабря 2013 г., регистрационный № 30861), с изменениями, внесенными приказами Министерства образования и науки Российской Федерации от 14 мая 2014 г. № 518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(зарегистрирован Министерством юстиции Российской Федерации 28 мая 2014 г., регистрационный № 32461), от 18 ноября 2015 г. № 1350 (зарегистрирован Министерством юстиции Российской Федерации 3 декабря 2015 г., регистрационный № 39955) и от 25 ноября 2016 г. № 1477 (зарегистрирован Министерством юстиции Российской Федерации 12 декабря 2016 г., регистрационный № 44662):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специалист. </w:t>
      </w:r>
    </w:p>
    <w:p w:rsidR="00BA4B42" w:rsidRPr="00BA4B42" w:rsidRDefault="00BA4B42" w:rsidP="00BA4B4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Требования к структуре образовательной программы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Обязательная часть образовательной программы направлена на формирование общих и профессиональных компетенций, предусмотренных </w:t>
      </w:r>
      <w:hyperlink r:id="rId9" w:anchor="1203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главой III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ФГОС СПО, и должна составлять не более 70 процентов от общего объема времени, отведенного на ее освоение.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Вариативная часть образовательной программы (не менее 30 процентов) дает возможность расширения основног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о(</w:t>
      </w:r>
      <w:proofErr w:type="spellStart"/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вида(</w:t>
      </w:r>
      <w:proofErr w:type="spell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proofErr w:type="spell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деятельности, к которым должен быть готов выпускник, освоивший образовательную программу, согласно получаемой квалификации, указанной в </w:t>
      </w:r>
      <w:hyperlink r:id="rId10" w:anchor="111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1.11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 (далее - ПООП).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Образовательная программа имеет следующую структуру: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гуманитарный и социально-экономический цикл;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математический и общий естественнонаучный цикл;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общепрофессиональный цикл;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профессиональный цикл;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государственная итоговая аттестация, которая завершается присвоением квалификации специалиста среднего звена, указанной в </w:t>
      </w:r>
      <w:hyperlink r:id="rId11" w:anchor="111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1.11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ФГОС СПО.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1</w:t>
      </w:r>
    </w:p>
    <w:p w:rsidR="00BA4B42" w:rsidRPr="00BA4B42" w:rsidRDefault="00BA4B42" w:rsidP="00BA4B4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Структура и объем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4"/>
        <w:gridCol w:w="2831"/>
      </w:tblGrid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Структура образовательной программы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 в академических часах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468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144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612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1728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BA4B42" w:rsidRPr="00BA4B42" w:rsidTr="00BA4B42">
        <w:tc>
          <w:tcPr>
            <w:tcW w:w="0" w:type="auto"/>
            <w:gridSpan w:val="2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образовательной программы: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среднего общего образования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</w:t>
            </w:r>
          </w:p>
        </w:tc>
      </w:tr>
    </w:tbl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2.3. Перечень, содержание,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32-36 академическим часам.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 </w:t>
      </w:r>
      <w:hyperlink r:id="rId12" w:anchor="10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Таблицей 1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ФГОС СПО, в очно-заочной форме обучения - не менее 25 процентов, в заочной форме обучения - не менее 10 процентов.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Общий объем дисциплины «Физическая культура»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2.7. Освоение общепрофессионального цикла образовательной программы в очной форме обучения должно предусматривать изучение дисциплины «Безопасность жизнедеятельности»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Учебная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2.9.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Государственная итоговая аттестация проводится в форме защиты выпускной квалификационной работы (дипломная работа (дипломный проект).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BA4B42" w:rsidRPr="00BA4B42" w:rsidRDefault="00BA4B42" w:rsidP="00BA4B4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Требования к результатам освоения образовательной программы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OK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 </w:t>
      </w:r>
      <w:hyperlink r:id="rId13" w:anchor="111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1.11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ФГОС СПО: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техническое обслуживание и ремонт автомобильных двигателей;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техническое обслуживание и ремонт электрооборудования и электронных систем автомобилей;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техническое обслуживание и ремонт шасси автомобилей;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кузовного ремонта;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процесса по техническому обслуживанию и ремонту автомобиля;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процесса модернизации и модификации автотранспортных средств.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к основным видам деятельности относится освоение одной или нескольких профессий рабочих, должностей служащих, указанных в </w:t>
      </w:r>
      <w:hyperlink r:id="rId14" w:anchor="1100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приложении № 1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настоящему ФГОС СПО.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3.4.1. Техническое обслуживание и ремонт автомобильных двигателей: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1.1. Осуществлять диагностику систем, узлов и механизмов автомобильных двигателей.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1.3. Проводить ремонт различных типов двигателей в соответствии с технологической документацией.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3.4.2. Техническое обслуживание и ремонт электрооборудования и электронных систем автомобилей: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2.1. Осуществлять диагностику электрооборудования и электронных систем автомобилей.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ПК 2.3. Проводить ремонт электрооборудования и электронных систем автомобилей в соответствии с технологической документацией.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3.4.3. Техническое обслуживание и ремонт шасси автомобилей: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3.1. Осуществлять диагностику трансмиссии, ходовой части и органов управления автомобилей.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ПК.3.3.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3.4.4. Проведение кузовного ремонта: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4.1. Выявлять дефекты автомобильных кузовов.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4.2. Проводить ремонт повреждений автомобильных кузовов.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4.3. Проводить окраску автомобильных кузовов.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3.4.5. Организация процесса по техническому обслуживанию и ремонту автомобиля: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5.2. Организовывать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3.4.6. Организация процесса модернизации и модификации автотранспортных средств: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6.1. Определять необходимость модернизации автотранспортного средства.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6.2. Планировать взаимозаменяемость узлов и агрегатов автотранспортного средства и повышение их эксплуатационных свойств.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6.3. Владеть методикой тюнинга автомобиля.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6.4. Определять остаточный ресурс производственного оборудования.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Минимальные требования к результатам освоения основных видов деятельности образовательной программы представлены в </w:t>
      </w:r>
      <w:hyperlink r:id="rId15" w:anchor="1200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приложении № 2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настоящему ФГОС СПО.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3.6. Образовательная организация самостоятельно планирует результаты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по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ПК, установленных настоящим ФГОС СПО.</w:t>
      </w:r>
    </w:p>
    <w:p w:rsidR="00BA4B42" w:rsidRPr="00BA4B42" w:rsidRDefault="00BA4B42" w:rsidP="00BA4B4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Требования к условиям реализации образовательной программы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Общесистемные требования к условиям реализации образовательной программы.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ПК.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электронно-библиотечной системе (электронной библиотеке).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4.3.6. Образовательная программа должна обеспечиваться учебно-методической документацией по всем учебным предметам, дисциплинам и модулям.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Требования к кадровым условиям реализации образовательной программы.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4.4.1.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образовательной программы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 </w:t>
      </w:r>
      <w:hyperlink r:id="rId16" w:anchor="14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1.4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ФГОС СПО (имеющих стаж работы в данной профессиональной области не менее 3 лет).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 </w:t>
      </w:r>
      <w:hyperlink r:id="rId17" w:anchor="14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1.4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ФГОС СПО, не реже 1 раза в 3 года с учетом расширения спектра профессиональных компетенций.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 </w:t>
      </w:r>
      <w:hyperlink r:id="rId18" w:anchor="14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пункте 1.4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Требования к финансовым условиям реализации образовательной программы.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Требования к применяемым механизмам оценки качества образовательной программы.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4.6.3. 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Приказ Министерства труда и социальной защиты Российской Федерации от 29 сентября 2014 г. № 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 34779).</w:t>
      </w:r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** См. статью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2014, № 6, ст. 562, ст. 566; № 19, ст. 2289; № 22, ст. 2769;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 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23, ст. 2933; № 26, ст. 3388; № 30, ст. 4217, ст. 4257, ст. 4263; 2015, № 1, ст. 42, ст. 53, ст. 72; № 14, ст. 2008, № 18, ст. 2625; № 27, ст. 3951, ст. 3989; № 29, ст. 4339, ст. 4364; № 51, ст. 7241; 2016, № 1, ст. 8, ст. 9, ст. 24, ст. 72, ст. 78;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 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10, ст. 1320; № 23, ст. 3289, ст. 3290; № 27, ст. 4160, ст. 4219, ст. 4223, ст. 4238, ст. 4239, ст. 4245, ст. 4246, ст. 4292).</w:t>
      </w:r>
      <w:proofErr w:type="gramEnd"/>
    </w:p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1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 </w:t>
      </w:r>
      <w:hyperlink r:id="rId19" w:anchor="1000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Федеральному государственному</w:t>
        </w:r>
        <w:r w:rsidRPr="00BA4B42">
          <w:rPr>
            <w:rFonts w:ascii="Arial" w:eastAsia="Times New Roman" w:hAnsi="Arial" w:cs="Arial"/>
            <w:color w:val="808080"/>
            <w:sz w:val="21"/>
            <w:szCs w:val="21"/>
            <w:bdr w:val="none" w:sz="0" w:space="0" w:color="auto" w:frame="1"/>
            <w:lang w:eastAsia="ru-RU"/>
          </w:rPr>
          <w:br/>
        </w:r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образовательному стандарту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среднего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профессионального образования по специальности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23.02.07 Техническое обслуживание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ремонт двигателей, систем и агрегатов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автомобилей</w:t>
      </w:r>
    </w:p>
    <w:p w:rsidR="00BA4B42" w:rsidRPr="00BA4B42" w:rsidRDefault="00BA4B42" w:rsidP="00BA4B4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профессий рабочих, должностей служащих, рекомендуемых к освоению в рамках образовательной программы среднего профессионального образования по специальности 23.02.07 Техническое обслуживание и ремонт двигателей, систем и агрегатов автомобилей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4"/>
        <w:gridCol w:w="2421"/>
      </w:tblGrid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Перечню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 г. № 513 (зарегистрирован Министерством юстиции Российской Федерации 8 августа 2013 г., регистрационный № 9322), с изменениями, внесенными приказами Министерства образования и науки Российской Федерации от 16 декабря 2013 г. № 348 (зарегистрирован Министерством юстиции Российской Федерации 29 января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г., регистрационный № 31163), от 28 марта 2014 г. № 244 (зарегистрирован Министерством юстиции Российской Федерации 15 апреля 2014 г., регистрационный № 31953) и от 27 июня 2014 г. № 695 (зарегистрирован Министерством юстиции Российской Федерации 22 июля 2014 г., регистрационный № 33205)</w:t>
            </w:r>
            <w:proofErr w:type="gramEnd"/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профессий рабочих, должностей служащих</w:t>
            </w:r>
          </w:p>
        </w:tc>
      </w:tr>
    </w:tbl>
    <w:p w:rsidR="00BA4B42" w:rsidRPr="00BA4B42" w:rsidRDefault="00BA4B42" w:rsidP="00BA4B42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461"/>
      </w:tblGrid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18511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</w:tr>
    </w:tbl>
    <w:p w:rsidR="00BA4B42" w:rsidRPr="00BA4B42" w:rsidRDefault="00BA4B42" w:rsidP="00BA4B42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2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 </w:t>
      </w:r>
      <w:hyperlink r:id="rId20" w:anchor="1000" w:history="1"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Федеральному государственному</w:t>
        </w:r>
        <w:r w:rsidRPr="00BA4B42">
          <w:rPr>
            <w:rFonts w:ascii="Arial" w:eastAsia="Times New Roman" w:hAnsi="Arial" w:cs="Arial"/>
            <w:color w:val="808080"/>
            <w:sz w:val="21"/>
            <w:szCs w:val="21"/>
            <w:bdr w:val="none" w:sz="0" w:space="0" w:color="auto" w:frame="1"/>
            <w:lang w:eastAsia="ru-RU"/>
          </w:rPr>
          <w:br/>
        </w:r>
        <w:r w:rsidRPr="00BA4B42">
          <w:rPr>
            <w:rFonts w:ascii="Arial" w:eastAsia="Times New Roman" w:hAnsi="Arial" w:cs="Arial"/>
            <w:color w:val="808080"/>
            <w:sz w:val="21"/>
            <w:szCs w:val="21"/>
            <w:u w:val="single"/>
            <w:bdr w:val="none" w:sz="0" w:space="0" w:color="auto" w:frame="1"/>
            <w:lang w:eastAsia="ru-RU"/>
          </w:rPr>
          <w:lastRenderedPageBreak/>
          <w:t>образовательному стандарту</w:t>
        </w:r>
      </w:hyperlink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среднего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профессионального образования по специальности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23.02.07 Техническое обслуживание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ремонт двигателей, систем и агрегатов</w:t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автомобилей</w:t>
      </w:r>
    </w:p>
    <w:p w:rsidR="00BA4B42" w:rsidRPr="00BA4B42" w:rsidRDefault="00BA4B42" w:rsidP="00BA4B42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Минимальные требования</w:t>
      </w:r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к результатам </w:t>
      </w:r>
      <w:proofErr w:type="gramStart"/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освоения основных видов деятельности образовательной программы среднего профессионального образования</w:t>
      </w:r>
      <w:proofErr w:type="gramEnd"/>
      <w:r w:rsidRPr="00BA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 специальности 23.02.07 Техническое обслуживание и ремонт двигателей, систем и агрегатов автомобилей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  <w:gridCol w:w="6143"/>
      </w:tblGrid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знаниям, умениям, практическому опыту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автомобильных двигателей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ремонта автомобильных двигателей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практический опыт в: проведении технического контроля и диагностики автомобильных двигателей; разборке и сборке автомобильных двигателей;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обслуживания и ремонта автомобильных двигателей.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классификацию, основные характеристики и технические параметры элементов электрооборудования и электронных систем автомобиля; методы и технологии технического обслуживания и ремонта элементов электрооборудования и электронных систем автомобиля; базовые схемы включения элементов электрооборудования; свойства, показатели качества и критерии выбора автомобильных эксплуатационных материалов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меть: выбирать методы и технологии технического обслуживания и ремонта электрооборудования и электронных систем автомобилей; разрабатывать и осуществлять технологический процесс технического обслуживания и ремонта электрооборудования и электронных систем автомобилей; выполнять работы по техническому обслуживанию и ремонту электрооборудования и электронных систем автотранспортных средств; осуществлять </w:t>
            </w: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самостоятельный поиск необходимой информации для решения профессиональных задач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практический опыт в: проведении технического контроля и диагностики электрооборудования и электронных систем автомобилей;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обслуживания и ремонта автомобилей и автомобильных двигателей.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обслуживание и ремонт шасси автомобилей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классификацию, основные характеристики и технические параметры шасси автомобилей; методы и технологии технического обслуживания и ремонта шасси автомобилей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осуществлять технический контроль шасси автомобилей; выбирать методы и технологии технического обслуживания и ремонта шасси автомобилей; 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практический опыт в: проведении технического контроля и диагностики агрегатов и узлов автомобилей; осуществлении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кузовного ремонта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классификацию, основные характеристики и технические параметры автомобильных кузовов; правила оформления технической и отчетной документации; методы оценки и контроля качества ремонта автомобильных кузовов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выбирать методы и технологии кузовного ремонта; разрабатывать и осуществлять технологический процесс кузовного ремонта; выполнять работы по кузовному ремонту. иметь практический опыт в: проведении ремонта и окраски кузовов.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по техническому обслуживанию и ремонту автомобиля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основы организации деятельности предприятия и управление им; законодательные и нормативные акты, регулирующие производственно-хозяйственную деятельность; положения действующей системы менеджмента качества; методы нормирования и формы оплаты труда; основы управленческого учета и бережливого производства; основные технико-экономические показатели производственной деятельности; порядок разработки и оформления технической документации; правила охраны труда, противопожарной и экологической безопасности, виды, периодичность и правила оформления инструктажа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меть: планировать и осуществлять руководство работой производственного участка; обеспечивать рациональную расстановку рабочих; контролировать соблюдение технологических процессов и проверять качество выполненных работ; анализировать результаты производственной деятельности участка; обеспечивать правильность и своевременность оформления первичных документов; рассчитывать по принятой методологии </w:t>
            </w: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технико-экономические показатели производственной деятельности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практический опыт в: планировании и организации работ производственного поста, участка; проверке качества выполняемых работ; оценке экономической эффективности производственной деятельности; обеспечении безопасности труда на производственном участке.</w:t>
            </w:r>
          </w:p>
        </w:tc>
      </w:tr>
      <w:tr w:rsidR="00BA4B42" w:rsidRPr="00BA4B42" w:rsidTr="00BA4B42"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процесса модернизации и модификации автотранспортных средств.</w:t>
            </w:r>
          </w:p>
        </w:tc>
        <w:tc>
          <w:tcPr>
            <w:tcW w:w="0" w:type="auto"/>
            <w:hideMark/>
          </w:tcPr>
          <w:p w:rsidR="00BA4B42" w:rsidRPr="00BA4B42" w:rsidRDefault="00BA4B42" w:rsidP="00BA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конструктивные особенности автомобилей; особенности технического обслуживания и ремонта специальных автомобилей; типовые схемные решения по модернизации транспортных средств; особенности технического обслуживания и ремонта модернизированных транспортных средств; перспективные конструкции основных агрегатов и узлов транспортного средства; требования безопасного использования оборудования; особенности эксплуатации однотипного оборудования; правила ввода в эксплуатацию технического оборудования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меть: проводить контроль технического состояния транспортного средства; составлять технологическую документацию на модернизацию и тюнинг транспортных средств; определять взаимозаменяемость узлов и агрегатов транспортных средств; производить сравнительную оценку технологического оборудования; организовывать обучение рабочих для работы на новом оборудовании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практический опыт в: сборе нормативных данных в области конструкции транспортных средств; проведении модернизации и тюнинга транспортных средств; расчете экономических показателей модернизации и тюнинга транспортных средств; </w:t>
            </w:r>
            <w:proofErr w:type="gramStart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B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производственного оборудования; общении с представителями торговых организаций.</w:t>
            </w:r>
          </w:p>
        </w:tc>
      </w:tr>
    </w:tbl>
    <w:p w:rsidR="00356D12" w:rsidRDefault="00BA4B42"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BA4B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21" w:anchor="ixzz6NpCyElQX" w:history="1">
        <w:r w:rsidRPr="00BA4B42">
          <w:rPr>
            <w:rFonts w:ascii="Arial" w:eastAsia="Times New Roman" w:hAnsi="Arial" w:cs="Arial"/>
            <w:color w:val="003399"/>
            <w:sz w:val="21"/>
            <w:szCs w:val="21"/>
            <w:u w:val="single"/>
            <w:bdr w:val="none" w:sz="0" w:space="0" w:color="auto" w:frame="1"/>
            <w:lang w:eastAsia="ru-RU"/>
          </w:rPr>
          <w:t>http://www.garant.ru/products/ipo/prime/doc/71477346/#ixzz6NpCyElQX</w:t>
        </w:r>
      </w:hyperlink>
      <w:bookmarkStart w:id="1" w:name="_GoBack"/>
      <w:bookmarkEnd w:id="1"/>
    </w:p>
    <w:sectPr w:rsidR="0035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42"/>
    <w:rsid w:val="00356D12"/>
    <w:rsid w:val="00B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4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4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4B42"/>
    <w:rPr>
      <w:color w:val="0000FF"/>
      <w:u w:val="single"/>
    </w:rPr>
  </w:style>
  <w:style w:type="paragraph" w:customStyle="1" w:styleId="toleft">
    <w:name w:val="toleft"/>
    <w:basedOn w:val="a"/>
    <w:rsid w:val="00BA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4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4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4B42"/>
    <w:rPr>
      <w:color w:val="0000FF"/>
      <w:u w:val="single"/>
    </w:rPr>
  </w:style>
  <w:style w:type="paragraph" w:customStyle="1" w:styleId="toleft">
    <w:name w:val="toleft"/>
    <w:basedOn w:val="a"/>
    <w:rsid w:val="00BA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477346/" TargetMode="External"/><Relationship Id="rId13" Type="http://schemas.openxmlformats.org/officeDocument/2006/relationships/hyperlink" Target="http://www.garant.ru/products/ipo/prime/doc/71477346/" TargetMode="External"/><Relationship Id="rId18" Type="http://schemas.openxmlformats.org/officeDocument/2006/relationships/hyperlink" Target="http://www.garant.ru/products/ipo/prime/doc/71477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477346/" TargetMode="External"/><Relationship Id="rId7" Type="http://schemas.openxmlformats.org/officeDocument/2006/relationships/hyperlink" Target="http://www.garant.ru/products/ipo/prime/doc/71477346/" TargetMode="External"/><Relationship Id="rId12" Type="http://schemas.openxmlformats.org/officeDocument/2006/relationships/hyperlink" Target="http://www.garant.ru/products/ipo/prime/doc/71477346/" TargetMode="External"/><Relationship Id="rId17" Type="http://schemas.openxmlformats.org/officeDocument/2006/relationships/hyperlink" Target="http://www.garant.ru/products/ipo/prime/doc/7147734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477346/" TargetMode="External"/><Relationship Id="rId20" Type="http://schemas.openxmlformats.org/officeDocument/2006/relationships/hyperlink" Target="http://www.garant.ru/products/ipo/prime/doc/7147734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477346/" TargetMode="External"/><Relationship Id="rId11" Type="http://schemas.openxmlformats.org/officeDocument/2006/relationships/hyperlink" Target="http://www.garant.ru/products/ipo/prime/doc/71477346/" TargetMode="External"/><Relationship Id="rId5" Type="http://schemas.openxmlformats.org/officeDocument/2006/relationships/hyperlink" Target="http://www.garant.ru/products/ipo/prime/doc/71477346/" TargetMode="External"/><Relationship Id="rId15" Type="http://schemas.openxmlformats.org/officeDocument/2006/relationships/hyperlink" Target="http://www.garant.ru/products/ipo/prime/doc/7147734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rant.ru/products/ipo/prime/doc/71477346/" TargetMode="External"/><Relationship Id="rId19" Type="http://schemas.openxmlformats.org/officeDocument/2006/relationships/hyperlink" Target="http://www.garant.ru/products/ipo/prime/doc/71477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477346/" TargetMode="External"/><Relationship Id="rId14" Type="http://schemas.openxmlformats.org/officeDocument/2006/relationships/hyperlink" Target="http://www.garant.ru/products/ipo/prime/doc/7147734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5489</Words>
  <Characters>31293</Characters>
  <Application>Microsoft Office Word</Application>
  <DocSecurity>0</DocSecurity>
  <Lines>260</Lines>
  <Paragraphs>73</Paragraphs>
  <ScaleCrop>false</ScaleCrop>
  <Company>Microsoft</Company>
  <LinksUpToDate>false</LinksUpToDate>
  <CharactersWithSpaces>36709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Инфо-2</dc:creator>
  <cp:lastModifiedBy>Инфо-2</cp:lastModifiedBy>
  <cp:revision>1</cp:revision>
  <dcterms:created xsi:type="dcterms:W3CDTF">2020-05-29T10:19:00Z</dcterms:created>
  <dcterms:modified xsi:type="dcterms:W3CDTF">2020-05-29T10:20:00Z</dcterms:modified>
</cp:coreProperties>
</file>